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FFC09" w14:textId="77777777" w:rsidR="00675108" w:rsidRDefault="00675108" w:rsidP="00BF46F1">
      <w:pPr>
        <w:spacing w:before="120"/>
        <w:jc w:val="both"/>
        <w:rPr>
          <w:rFonts w:cs="Times New Roman"/>
        </w:rPr>
      </w:pPr>
      <w:bookmarkStart w:id="0" w:name="_GoBack"/>
      <w:bookmarkEnd w:id="0"/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4"/>
        <w:gridCol w:w="137"/>
        <w:gridCol w:w="1742"/>
        <w:gridCol w:w="799"/>
        <w:gridCol w:w="65"/>
        <w:gridCol w:w="1088"/>
        <w:gridCol w:w="145"/>
        <w:gridCol w:w="1465"/>
        <w:gridCol w:w="1291"/>
      </w:tblGrid>
      <w:tr w:rsidR="00675108" w14:paraId="357C28F0" w14:textId="77777777">
        <w:trPr>
          <w:trHeight w:val="995"/>
        </w:trPr>
        <w:tc>
          <w:tcPr>
            <w:tcW w:w="5000" w:type="pct"/>
            <w:gridSpan w:val="9"/>
          </w:tcPr>
          <w:p w14:paraId="325CEF78" w14:textId="4D701A90" w:rsidR="002643E1" w:rsidRPr="002643E1" w:rsidRDefault="00D053BF" w:rsidP="00BF46F1">
            <w:pPr>
              <w:spacing w:before="120" w:after="12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DOKLAD </w:t>
            </w:r>
          </w:p>
          <w:p w14:paraId="7FCEA425" w14:textId="325BA79C" w:rsidR="00675108" w:rsidRDefault="00675108" w:rsidP="00BF46F1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o kontrole technického stavu a provozu spalovacího stacionárního zdroje na pevná paliva o jmenovitém tepelném příkonu 10-300 kW včetně, sloužícího jako zdroj tepla pro teplovodní soustavu ústředního vytápění</w:t>
            </w:r>
          </w:p>
        </w:tc>
      </w:tr>
      <w:tr w:rsidR="00675108" w14:paraId="36DF60BD" w14:textId="77777777">
        <w:tc>
          <w:tcPr>
            <w:tcW w:w="5000" w:type="pct"/>
            <w:gridSpan w:val="9"/>
            <w:shd w:val="clear" w:color="auto" w:fill="D9D9D9"/>
          </w:tcPr>
          <w:p w14:paraId="773B3EA6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odborně způsobilé osobě</w:t>
            </w:r>
          </w:p>
        </w:tc>
      </w:tr>
      <w:tr w:rsidR="00675108" w14:paraId="645E804E" w14:textId="77777777" w:rsidTr="00C924A2">
        <w:trPr>
          <w:trHeight w:val="384"/>
        </w:trPr>
        <w:tc>
          <w:tcPr>
            <w:tcW w:w="1449" w:type="pct"/>
            <w:gridSpan w:val="2"/>
          </w:tcPr>
          <w:p w14:paraId="328F0502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Název/jméno a příjmení</w:t>
            </w:r>
          </w:p>
        </w:tc>
        <w:tc>
          <w:tcPr>
            <w:tcW w:w="3551" w:type="pct"/>
            <w:gridSpan w:val="7"/>
          </w:tcPr>
          <w:p w14:paraId="33BFE91B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00664DC" w14:textId="77777777" w:rsidTr="00C924A2">
        <w:trPr>
          <w:trHeight w:val="701"/>
        </w:trPr>
        <w:tc>
          <w:tcPr>
            <w:tcW w:w="1449" w:type="pct"/>
            <w:gridSpan w:val="2"/>
          </w:tcPr>
          <w:p w14:paraId="186D25D4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Adresa sídla/bydliště</w:t>
            </w:r>
          </w:p>
        </w:tc>
        <w:tc>
          <w:tcPr>
            <w:tcW w:w="3551" w:type="pct"/>
            <w:gridSpan w:val="7"/>
          </w:tcPr>
          <w:p w14:paraId="2E50E24D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0C6BD03" w14:textId="77777777" w:rsidTr="00C924A2">
        <w:trPr>
          <w:trHeight w:val="417"/>
        </w:trPr>
        <w:tc>
          <w:tcPr>
            <w:tcW w:w="1449" w:type="pct"/>
            <w:gridSpan w:val="2"/>
          </w:tcPr>
          <w:p w14:paraId="4058314D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IČ</w:t>
            </w:r>
          </w:p>
        </w:tc>
        <w:tc>
          <w:tcPr>
            <w:tcW w:w="3551" w:type="pct"/>
            <w:gridSpan w:val="7"/>
          </w:tcPr>
          <w:p w14:paraId="126827AC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6C61357E" w14:textId="77777777" w:rsidTr="00C924A2">
        <w:trPr>
          <w:trHeight w:val="424"/>
        </w:trPr>
        <w:tc>
          <w:tcPr>
            <w:tcW w:w="1449" w:type="pct"/>
            <w:gridSpan w:val="2"/>
          </w:tcPr>
          <w:p w14:paraId="234DF98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Evidenční číslo oprávnění</w:t>
            </w:r>
          </w:p>
        </w:tc>
        <w:tc>
          <w:tcPr>
            <w:tcW w:w="3551" w:type="pct"/>
            <w:gridSpan w:val="7"/>
          </w:tcPr>
          <w:p w14:paraId="016A76EE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7CEA1EE" w14:textId="77777777" w:rsidTr="00C924A2">
        <w:tc>
          <w:tcPr>
            <w:tcW w:w="1449" w:type="pct"/>
            <w:gridSpan w:val="2"/>
          </w:tcPr>
          <w:p w14:paraId="684E02FB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Název výrobce spalovacího stacionárního zdroje, který oprávnění vydal</w:t>
            </w:r>
          </w:p>
        </w:tc>
        <w:tc>
          <w:tcPr>
            <w:tcW w:w="3551" w:type="pct"/>
            <w:gridSpan w:val="7"/>
          </w:tcPr>
          <w:p w14:paraId="13D54542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6BEFBA56" w14:textId="77777777" w:rsidTr="00C924A2">
        <w:trPr>
          <w:trHeight w:val="427"/>
        </w:trPr>
        <w:tc>
          <w:tcPr>
            <w:tcW w:w="1449" w:type="pct"/>
            <w:gridSpan w:val="2"/>
          </w:tcPr>
          <w:p w14:paraId="4D27271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Rozsah oprávnění</w:t>
            </w:r>
          </w:p>
          <w:p w14:paraId="72127789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3551" w:type="pct"/>
            <w:gridSpan w:val="7"/>
          </w:tcPr>
          <w:p w14:paraId="4980C41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0E90A9AB" w14:textId="77777777" w:rsidTr="00C924A2">
        <w:trPr>
          <w:trHeight w:val="427"/>
        </w:trPr>
        <w:tc>
          <w:tcPr>
            <w:tcW w:w="1449" w:type="pct"/>
            <w:gridSpan w:val="2"/>
          </w:tcPr>
          <w:p w14:paraId="66CC6B7A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Platnost oprávnění</w:t>
            </w:r>
          </w:p>
        </w:tc>
        <w:tc>
          <w:tcPr>
            <w:tcW w:w="3551" w:type="pct"/>
            <w:gridSpan w:val="7"/>
          </w:tcPr>
          <w:p w14:paraId="4B44197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CC9CB18" w14:textId="77777777">
        <w:tc>
          <w:tcPr>
            <w:tcW w:w="5000" w:type="pct"/>
            <w:gridSpan w:val="9"/>
            <w:shd w:val="clear" w:color="auto" w:fill="D9D9D9"/>
          </w:tcPr>
          <w:p w14:paraId="5EC9BFA3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provozovateli spalovacího stacionárního zdroje</w:t>
            </w:r>
          </w:p>
        </w:tc>
      </w:tr>
      <w:tr w:rsidR="00675108" w14:paraId="52FB872A" w14:textId="77777777" w:rsidTr="00C924A2">
        <w:trPr>
          <w:trHeight w:val="414"/>
        </w:trPr>
        <w:tc>
          <w:tcPr>
            <w:tcW w:w="1449" w:type="pct"/>
            <w:gridSpan w:val="2"/>
          </w:tcPr>
          <w:p w14:paraId="648153B9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Název/jméno a příjmení </w:t>
            </w:r>
          </w:p>
        </w:tc>
        <w:tc>
          <w:tcPr>
            <w:tcW w:w="3551" w:type="pct"/>
            <w:gridSpan w:val="7"/>
          </w:tcPr>
          <w:p w14:paraId="5075D1B9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455DF19" w14:textId="77777777" w:rsidTr="00C924A2">
        <w:trPr>
          <w:trHeight w:val="689"/>
        </w:trPr>
        <w:tc>
          <w:tcPr>
            <w:tcW w:w="1449" w:type="pct"/>
            <w:gridSpan w:val="2"/>
          </w:tcPr>
          <w:p w14:paraId="167D31C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Adresa sídla/bydliště</w:t>
            </w:r>
          </w:p>
        </w:tc>
        <w:tc>
          <w:tcPr>
            <w:tcW w:w="3551" w:type="pct"/>
            <w:gridSpan w:val="7"/>
          </w:tcPr>
          <w:p w14:paraId="5BEA3DE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5455243A" w14:textId="77777777">
        <w:tc>
          <w:tcPr>
            <w:tcW w:w="5000" w:type="pct"/>
            <w:gridSpan w:val="9"/>
            <w:shd w:val="clear" w:color="auto" w:fill="D9D9D9"/>
          </w:tcPr>
          <w:p w14:paraId="2D5C988D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spalovacím stacionárním zdroji</w:t>
            </w:r>
          </w:p>
        </w:tc>
      </w:tr>
      <w:tr w:rsidR="00675108" w14:paraId="54E5B2C4" w14:textId="77777777" w:rsidTr="00C924A2">
        <w:tc>
          <w:tcPr>
            <w:tcW w:w="1449" w:type="pct"/>
            <w:gridSpan w:val="2"/>
          </w:tcPr>
          <w:p w14:paraId="615B981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Adresa umístění (včetně čísla bytu, pokud je umístěn v bytě)</w:t>
            </w:r>
          </w:p>
        </w:tc>
        <w:tc>
          <w:tcPr>
            <w:tcW w:w="3551" w:type="pct"/>
            <w:gridSpan w:val="7"/>
          </w:tcPr>
          <w:p w14:paraId="11E68E17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36E5663A" w14:textId="77777777" w:rsidTr="00C924A2">
        <w:trPr>
          <w:trHeight w:val="418"/>
        </w:trPr>
        <w:tc>
          <w:tcPr>
            <w:tcW w:w="1449" w:type="pct"/>
            <w:gridSpan w:val="2"/>
          </w:tcPr>
          <w:p w14:paraId="0B07DBB4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Obchodní název</w:t>
            </w:r>
          </w:p>
        </w:tc>
        <w:tc>
          <w:tcPr>
            <w:tcW w:w="3551" w:type="pct"/>
            <w:gridSpan w:val="7"/>
          </w:tcPr>
          <w:p w14:paraId="47843B57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3B99D5B" w14:textId="77777777" w:rsidTr="00C924A2">
        <w:trPr>
          <w:trHeight w:val="424"/>
        </w:trPr>
        <w:tc>
          <w:tcPr>
            <w:tcW w:w="1449" w:type="pct"/>
            <w:gridSpan w:val="2"/>
          </w:tcPr>
          <w:p w14:paraId="198F8EF2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Výrobce</w:t>
            </w:r>
          </w:p>
        </w:tc>
        <w:tc>
          <w:tcPr>
            <w:tcW w:w="3551" w:type="pct"/>
            <w:gridSpan w:val="7"/>
          </w:tcPr>
          <w:p w14:paraId="336BA585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2D7103" w14:paraId="75D4DE27" w14:textId="6C32EA3F" w:rsidTr="00C924A2">
        <w:trPr>
          <w:trHeight w:val="207"/>
        </w:trPr>
        <w:tc>
          <w:tcPr>
            <w:tcW w:w="1449" w:type="pct"/>
            <w:gridSpan w:val="2"/>
            <w:vMerge w:val="restart"/>
          </w:tcPr>
          <w:p w14:paraId="42D6952F" w14:textId="6C0F853C" w:rsidR="002D7103" w:rsidRDefault="002D710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Typ</w:t>
            </w:r>
            <w:r>
              <w:t xml:space="preserve"> spalovacího stacionárního zdroje</w:t>
            </w:r>
          </w:p>
        </w:tc>
        <w:tc>
          <w:tcPr>
            <w:tcW w:w="1368" w:type="pct"/>
            <w:gridSpan w:val="2"/>
          </w:tcPr>
          <w:p w14:paraId="3D25FFD8" w14:textId="4036D42D" w:rsidR="002D7103" w:rsidRPr="002D7103" w:rsidRDefault="006D113E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2642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sz w:val="22"/>
                <w:szCs w:val="22"/>
              </w:rPr>
              <w:t>prohořívací</w:t>
            </w:r>
          </w:p>
        </w:tc>
        <w:tc>
          <w:tcPr>
            <w:tcW w:w="2183" w:type="pct"/>
            <w:gridSpan w:val="5"/>
          </w:tcPr>
          <w:p w14:paraId="78515963" w14:textId="6C043767" w:rsidR="002D7103" w:rsidRPr="002D7103" w:rsidRDefault="006D113E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1333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sz w:val="22"/>
                <w:szCs w:val="22"/>
              </w:rPr>
              <w:t>odhořívací</w:t>
            </w:r>
          </w:p>
        </w:tc>
      </w:tr>
      <w:tr w:rsidR="002D7103" w14:paraId="0663B1A8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2E0C3837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pct"/>
            <w:gridSpan w:val="2"/>
          </w:tcPr>
          <w:p w14:paraId="588B1F0C" w14:textId="602C15AA" w:rsidR="002D7103" w:rsidRPr="002D7103" w:rsidRDefault="006D113E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639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bCs/>
                <w:color w:val="000000"/>
                <w:sz w:val="22"/>
                <w:szCs w:val="22"/>
              </w:rPr>
              <w:t>zplyňovací</w:t>
            </w:r>
          </w:p>
        </w:tc>
        <w:tc>
          <w:tcPr>
            <w:tcW w:w="2183" w:type="pct"/>
            <w:gridSpan w:val="5"/>
          </w:tcPr>
          <w:p w14:paraId="25D563D5" w14:textId="2595FB92" w:rsidR="002D7103" w:rsidRPr="002D7103" w:rsidRDefault="006D113E" w:rsidP="00AB048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618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bCs/>
                <w:color w:val="000000"/>
                <w:sz w:val="22"/>
                <w:szCs w:val="22"/>
              </w:rPr>
              <w:t>automatický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se šnekovým dopravníkem</w:t>
            </w:r>
          </w:p>
        </w:tc>
      </w:tr>
      <w:tr w:rsidR="002D7103" w14:paraId="524B7C1A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39A33440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pct"/>
            <w:gridSpan w:val="2"/>
          </w:tcPr>
          <w:p w14:paraId="3D3C09DA" w14:textId="41A7FA49" w:rsidR="002D7103" w:rsidRPr="002D7103" w:rsidRDefault="006D113E" w:rsidP="00AB048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21329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kotel automatický s rotačním dopravníkem</w:t>
            </w:r>
          </w:p>
        </w:tc>
        <w:tc>
          <w:tcPr>
            <w:tcW w:w="2183" w:type="pct"/>
            <w:gridSpan w:val="5"/>
          </w:tcPr>
          <w:p w14:paraId="45185A42" w14:textId="6AC207E9" w:rsidR="002D7103" w:rsidRPr="002D7103" w:rsidRDefault="006D113E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2485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kotel automatický přestavěný</w:t>
            </w:r>
          </w:p>
        </w:tc>
      </w:tr>
      <w:tr w:rsidR="002D7103" w14:paraId="732813EF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34E4E164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pct"/>
            <w:gridSpan w:val="2"/>
          </w:tcPr>
          <w:p w14:paraId="3C59D417" w14:textId="38DDCF42" w:rsidR="002D7103" w:rsidRPr="002D7103" w:rsidRDefault="006D113E" w:rsidP="00AB048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3713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kotel automatický speciální</w:t>
            </w:r>
          </w:p>
        </w:tc>
        <w:tc>
          <w:tcPr>
            <w:tcW w:w="2183" w:type="pct"/>
            <w:gridSpan w:val="5"/>
          </w:tcPr>
          <w:p w14:paraId="4BA77B0A" w14:textId="3FF3FF71" w:rsidR="002D7103" w:rsidRPr="002D7103" w:rsidRDefault="006D113E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8626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lokální topidlo s výměníkem</w:t>
            </w:r>
          </w:p>
        </w:tc>
      </w:tr>
      <w:tr w:rsidR="002D7103" w14:paraId="7CEDBCDB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6391A7D7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1" w:type="pct"/>
            <w:gridSpan w:val="7"/>
          </w:tcPr>
          <w:p w14:paraId="65E0D239" w14:textId="6CF352FC" w:rsidR="002D7103" w:rsidRPr="002D7103" w:rsidRDefault="006D113E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88448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jiný (specifikovat)</w:t>
            </w:r>
          </w:p>
        </w:tc>
      </w:tr>
      <w:tr w:rsidR="00675108" w14:paraId="79934426" w14:textId="77777777" w:rsidTr="00C924A2">
        <w:trPr>
          <w:trHeight w:val="414"/>
        </w:trPr>
        <w:tc>
          <w:tcPr>
            <w:tcW w:w="1449" w:type="pct"/>
            <w:gridSpan w:val="2"/>
          </w:tcPr>
          <w:p w14:paraId="6C983235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Rok výroby</w:t>
            </w:r>
          </w:p>
        </w:tc>
        <w:tc>
          <w:tcPr>
            <w:tcW w:w="3551" w:type="pct"/>
            <w:gridSpan w:val="7"/>
          </w:tcPr>
          <w:p w14:paraId="25CB0BE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4F4DF68" w14:textId="77777777" w:rsidTr="00C924A2">
        <w:trPr>
          <w:trHeight w:val="420"/>
        </w:trPr>
        <w:tc>
          <w:tcPr>
            <w:tcW w:w="1449" w:type="pct"/>
            <w:gridSpan w:val="2"/>
          </w:tcPr>
          <w:p w14:paraId="21AA535A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Výrobní číslo</w:t>
            </w:r>
          </w:p>
        </w:tc>
        <w:tc>
          <w:tcPr>
            <w:tcW w:w="3551" w:type="pct"/>
            <w:gridSpan w:val="7"/>
          </w:tcPr>
          <w:p w14:paraId="1E4C6CC1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242F57D7" w14:textId="77777777" w:rsidTr="00C924A2">
        <w:trPr>
          <w:trHeight w:val="412"/>
        </w:trPr>
        <w:tc>
          <w:tcPr>
            <w:tcW w:w="1449" w:type="pct"/>
            <w:gridSpan w:val="2"/>
          </w:tcPr>
          <w:p w14:paraId="712B9AEE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Určující technická norma</w:t>
            </w:r>
          </w:p>
        </w:tc>
        <w:tc>
          <w:tcPr>
            <w:tcW w:w="3551" w:type="pct"/>
            <w:gridSpan w:val="7"/>
          </w:tcPr>
          <w:p w14:paraId="30E389E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53D1D0E2" w14:textId="77777777" w:rsidTr="00C924A2">
        <w:trPr>
          <w:cantSplit/>
        </w:trPr>
        <w:tc>
          <w:tcPr>
            <w:tcW w:w="1449" w:type="pct"/>
            <w:gridSpan w:val="2"/>
            <w:vMerge w:val="restart"/>
          </w:tcPr>
          <w:p w14:paraId="4749878E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Paliva určená výrobcem </w:t>
            </w:r>
            <w:r>
              <w:rPr>
                <w:rFonts w:cs="Times New Roman"/>
                <w:sz w:val="22"/>
                <w:szCs w:val="22"/>
              </w:rPr>
              <w:lastRenderedPageBreak/>
              <w:t>spalovacího stacionárního zdroje</w:t>
            </w:r>
          </w:p>
        </w:tc>
        <w:tc>
          <w:tcPr>
            <w:tcW w:w="938" w:type="pct"/>
          </w:tcPr>
          <w:p w14:paraId="6AE2321E" w14:textId="77777777" w:rsidR="00675108" w:rsidRDefault="00675108" w:rsidP="00BF46F1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Palivo 1</w:t>
            </w:r>
          </w:p>
        </w:tc>
        <w:tc>
          <w:tcPr>
            <w:tcW w:w="1051" w:type="pct"/>
            <w:gridSpan w:val="3"/>
          </w:tcPr>
          <w:p w14:paraId="02A99972" w14:textId="77777777" w:rsidR="00675108" w:rsidRDefault="00675108" w:rsidP="00BF46F1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Palivo 2</w:t>
            </w:r>
          </w:p>
        </w:tc>
        <w:tc>
          <w:tcPr>
            <w:tcW w:w="1562" w:type="pct"/>
            <w:gridSpan w:val="3"/>
          </w:tcPr>
          <w:p w14:paraId="3F70574C" w14:textId="77777777" w:rsidR="00675108" w:rsidRDefault="00675108" w:rsidP="00BF46F1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Palivo 3</w:t>
            </w:r>
          </w:p>
        </w:tc>
      </w:tr>
      <w:tr w:rsidR="00BC4433" w14:paraId="4549AC33" w14:textId="77777777" w:rsidTr="00C924A2">
        <w:trPr>
          <w:cantSplit/>
          <w:trHeight w:val="408"/>
        </w:trPr>
        <w:tc>
          <w:tcPr>
            <w:tcW w:w="1449" w:type="pct"/>
            <w:gridSpan w:val="2"/>
            <w:vMerge/>
          </w:tcPr>
          <w:p w14:paraId="33474984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938" w:type="pct"/>
          </w:tcPr>
          <w:p w14:paraId="50DC1782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267EA5CD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63AB7F9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30C65356" w14:textId="77777777" w:rsidTr="00C924A2">
        <w:trPr>
          <w:trHeight w:val="413"/>
        </w:trPr>
        <w:tc>
          <w:tcPr>
            <w:tcW w:w="1449" w:type="pct"/>
            <w:gridSpan w:val="2"/>
          </w:tcPr>
          <w:p w14:paraId="36600827" w14:textId="071719F9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Jmenovitý tepelný příkon</w:t>
            </w:r>
            <w:r w:rsidR="008D5804">
              <w:rPr>
                <w:rFonts w:cs="Times New Roman"/>
                <w:sz w:val="22"/>
                <w:szCs w:val="22"/>
              </w:rPr>
              <w:t>, je-li stanoven</w:t>
            </w:r>
          </w:p>
        </w:tc>
        <w:tc>
          <w:tcPr>
            <w:tcW w:w="938" w:type="pct"/>
          </w:tcPr>
          <w:p w14:paraId="1D25A207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47C5A28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03FA34C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74285C0C" w14:textId="77777777" w:rsidTr="00C924A2">
        <w:trPr>
          <w:trHeight w:val="420"/>
        </w:trPr>
        <w:tc>
          <w:tcPr>
            <w:tcW w:w="1449" w:type="pct"/>
            <w:gridSpan w:val="2"/>
          </w:tcPr>
          <w:p w14:paraId="4377DCD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Jmenovitý tepelný výkon</w:t>
            </w:r>
          </w:p>
        </w:tc>
        <w:tc>
          <w:tcPr>
            <w:tcW w:w="938" w:type="pct"/>
          </w:tcPr>
          <w:p w14:paraId="685EF7D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1E5702F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0B19B45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45C00105" w14:textId="77777777" w:rsidTr="00C924A2">
        <w:trPr>
          <w:trHeight w:val="412"/>
        </w:trPr>
        <w:tc>
          <w:tcPr>
            <w:tcW w:w="1449" w:type="pct"/>
            <w:gridSpan w:val="2"/>
          </w:tcPr>
          <w:p w14:paraId="4B602E85" w14:textId="1C4C109E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Minimální tepelný výkon</w:t>
            </w:r>
            <w:r w:rsidR="008D5804">
              <w:rPr>
                <w:rFonts w:cs="Times New Roman"/>
                <w:sz w:val="22"/>
                <w:szCs w:val="22"/>
              </w:rPr>
              <w:t>, je-li stanoven</w:t>
            </w:r>
          </w:p>
        </w:tc>
        <w:tc>
          <w:tcPr>
            <w:tcW w:w="938" w:type="pct"/>
          </w:tcPr>
          <w:p w14:paraId="43E58F64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58BAB875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0E434523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5B2F5114" w14:textId="77777777" w:rsidTr="00C924A2">
        <w:tc>
          <w:tcPr>
            <w:tcW w:w="1449" w:type="pct"/>
            <w:gridSpan w:val="2"/>
          </w:tcPr>
          <w:p w14:paraId="71F3E438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Emisní třída dle určující technické normy</w:t>
            </w:r>
          </w:p>
        </w:tc>
        <w:tc>
          <w:tcPr>
            <w:tcW w:w="938" w:type="pct"/>
          </w:tcPr>
          <w:p w14:paraId="34873C85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43297DAD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29C73B01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465F8A8" w14:textId="77777777">
        <w:tc>
          <w:tcPr>
            <w:tcW w:w="5000" w:type="pct"/>
            <w:gridSpan w:val="9"/>
            <w:shd w:val="clear" w:color="auto" w:fill="D9D9D9"/>
          </w:tcPr>
          <w:p w14:paraId="4146638D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kontrole</w:t>
            </w:r>
          </w:p>
        </w:tc>
      </w:tr>
      <w:tr w:rsidR="00BC4433" w14:paraId="36B307C2" w14:textId="77777777" w:rsidTr="00C924A2">
        <w:tc>
          <w:tcPr>
            <w:tcW w:w="2852" w:type="pct"/>
            <w:gridSpan w:val="5"/>
          </w:tcPr>
          <w:p w14:paraId="1701161B" w14:textId="77777777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</w:tcPr>
          <w:p w14:paraId="7E234995" w14:textId="7F6E64DE" w:rsidR="00BC4433" w:rsidRDefault="00BC4433" w:rsidP="00BF46F1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Vyhovuje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2ACAC806" w14:textId="4920836C" w:rsidR="00BC4433" w:rsidRDefault="00BC4433" w:rsidP="00BF46F1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Nevyhovuje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14:paraId="1FB9D1D1" w14:textId="47D8806E" w:rsidR="00BC4433" w:rsidRDefault="00BC443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Není</w:t>
            </w:r>
            <w:r w:rsidR="00C924A2">
              <w:rPr>
                <w:rStyle w:val="Znakapoznpodarou"/>
                <w:rFonts w:cs="Times New Roman"/>
                <w:b/>
                <w:bCs/>
              </w:rPr>
              <w:footnoteReference w:id="2"/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BC4433" w14:paraId="516369F3" w14:textId="77777777" w:rsidTr="00C924A2">
        <w:trPr>
          <w:cantSplit/>
          <w:trHeight w:val="405"/>
        </w:trPr>
        <w:tc>
          <w:tcPr>
            <w:tcW w:w="1449" w:type="pct"/>
            <w:gridSpan w:val="2"/>
            <w:vMerge w:val="restart"/>
          </w:tcPr>
          <w:p w14:paraId="0D3D663C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Základní konstrukční prvky spalovacího stacionárního zdroje</w:t>
            </w:r>
          </w:p>
        </w:tc>
        <w:tc>
          <w:tcPr>
            <w:tcW w:w="1403" w:type="pct"/>
            <w:gridSpan w:val="3"/>
          </w:tcPr>
          <w:p w14:paraId="0787CD96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Přívod spalovacího vzduchu</w:t>
            </w:r>
          </w:p>
        </w:tc>
        <w:sdt>
          <w:sdtPr>
            <w:rPr>
              <w:rFonts w:cs="Times New Roman"/>
            </w:rPr>
            <w:id w:val="-130769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4647F0C7" w14:textId="4FC1BF97" w:rsidR="00BC4433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917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0ECE965" w14:textId="652F20CE" w:rsidR="00BC4433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9604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7FE6B966" w14:textId="2A167739" w:rsidR="00BC4433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2F5CB367" w14:textId="77777777" w:rsidTr="00C924A2">
        <w:trPr>
          <w:cantSplit/>
          <w:trHeight w:val="420"/>
        </w:trPr>
        <w:tc>
          <w:tcPr>
            <w:tcW w:w="1449" w:type="pct"/>
            <w:gridSpan w:val="2"/>
            <w:vMerge/>
          </w:tcPr>
          <w:p w14:paraId="6DE47EB1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71DD5052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Roštová soustava</w:t>
            </w:r>
          </w:p>
        </w:tc>
        <w:sdt>
          <w:sdtPr>
            <w:rPr>
              <w:rFonts w:cs="Times New Roman"/>
            </w:rPr>
            <w:id w:val="157116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45BF7D3F" w14:textId="4FDB01A9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711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E34A185" w14:textId="5C7781D6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1290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525F5C17" w14:textId="20BA008A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02CF5E7" w14:textId="77777777" w:rsidTr="00C924A2">
        <w:trPr>
          <w:cantSplit/>
          <w:trHeight w:val="398"/>
        </w:trPr>
        <w:tc>
          <w:tcPr>
            <w:tcW w:w="1449" w:type="pct"/>
            <w:gridSpan w:val="2"/>
            <w:vMerge/>
          </w:tcPr>
          <w:p w14:paraId="125B301E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F519D21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komora</w:t>
            </w:r>
          </w:p>
        </w:tc>
        <w:sdt>
          <w:sdtPr>
            <w:rPr>
              <w:rFonts w:cs="Times New Roman"/>
            </w:rPr>
            <w:id w:val="-29769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B1CD47D" w14:textId="27556079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50039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C109042" w14:textId="703C6BE8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0905D79A" w14:textId="34B4C904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C924A2" w14:paraId="72ED58CE" w14:textId="77777777" w:rsidTr="00C924A2">
        <w:trPr>
          <w:cantSplit/>
          <w:trHeight w:val="417"/>
        </w:trPr>
        <w:tc>
          <w:tcPr>
            <w:tcW w:w="1449" w:type="pct"/>
            <w:gridSpan w:val="2"/>
            <w:vMerge/>
          </w:tcPr>
          <w:p w14:paraId="17E27949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66539B3E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Zatápěcí klapka</w:t>
            </w:r>
          </w:p>
        </w:tc>
        <w:sdt>
          <w:sdtPr>
            <w:rPr>
              <w:rFonts w:cs="Times New Roman"/>
            </w:rPr>
            <w:id w:val="-10784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7AA504FA" w14:textId="35A28DEB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991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27BCEC60" w14:textId="7F71D80B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15598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30777C6E" w14:textId="2838C621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0FC28191" w14:textId="77777777" w:rsidTr="00C924A2">
        <w:trPr>
          <w:cantSplit/>
          <w:trHeight w:val="410"/>
        </w:trPr>
        <w:tc>
          <w:tcPr>
            <w:tcW w:w="1449" w:type="pct"/>
            <w:gridSpan w:val="2"/>
            <w:vMerge/>
          </w:tcPr>
          <w:p w14:paraId="1674D6AB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1B5C0D1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Vstupní a čistící otvory</w:t>
            </w:r>
          </w:p>
        </w:tc>
        <w:sdt>
          <w:sdtPr>
            <w:rPr>
              <w:rFonts w:cs="Times New Roman"/>
            </w:rPr>
            <w:id w:val="10764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D59FCDB" w14:textId="7450BB6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7141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404641AA" w14:textId="3BF704A0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80982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356F7404" w14:textId="49E41D4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5DBD06EB" w14:textId="77777777" w:rsidTr="00C924A2">
        <w:trPr>
          <w:cantSplit/>
          <w:trHeight w:val="416"/>
        </w:trPr>
        <w:tc>
          <w:tcPr>
            <w:tcW w:w="1449" w:type="pct"/>
            <w:gridSpan w:val="2"/>
            <w:vMerge/>
          </w:tcPr>
          <w:p w14:paraId="33F14F6C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B80C178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Přívod paliva</w:t>
            </w:r>
          </w:p>
        </w:tc>
        <w:sdt>
          <w:sdtPr>
            <w:rPr>
              <w:rFonts w:cs="Times New Roman"/>
            </w:rPr>
            <w:id w:val="198611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2F9D4479" w14:textId="65BAA09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80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3F58AC80" w14:textId="41C093D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258AED44" w14:textId="18619A7B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C924A2" w14:paraId="1BE9E139" w14:textId="77777777" w:rsidTr="00C924A2">
        <w:trPr>
          <w:cantSplit/>
          <w:trHeight w:val="422"/>
        </w:trPr>
        <w:tc>
          <w:tcPr>
            <w:tcW w:w="1449" w:type="pct"/>
            <w:gridSpan w:val="2"/>
            <w:vMerge/>
          </w:tcPr>
          <w:p w14:paraId="37BF4E92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13611C7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Vnější izolace</w:t>
            </w:r>
          </w:p>
        </w:tc>
        <w:sdt>
          <w:sdtPr>
            <w:rPr>
              <w:rFonts w:cs="Times New Roman"/>
            </w:rPr>
            <w:id w:val="-3202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7CE964FD" w14:textId="3572478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476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20D42996" w14:textId="7C309783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9988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5254D7DB" w14:textId="565DABF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DB25FF1" w14:textId="77777777" w:rsidTr="00C924A2">
        <w:trPr>
          <w:cantSplit/>
          <w:trHeight w:val="414"/>
        </w:trPr>
        <w:tc>
          <w:tcPr>
            <w:tcW w:w="1449" w:type="pct"/>
            <w:gridSpan w:val="2"/>
            <w:vMerge w:val="restart"/>
          </w:tcPr>
          <w:p w14:paraId="76721A6D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Řídící, regulační, měřící a zabezpečovací prvky spalovacího stacionárního zdroje</w:t>
            </w:r>
          </w:p>
        </w:tc>
        <w:tc>
          <w:tcPr>
            <w:tcW w:w="1403" w:type="pct"/>
            <w:gridSpan w:val="3"/>
          </w:tcPr>
          <w:p w14:paraId="126CB5D2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Řídící jednotka</w:t>
            </w:r>
          </w:p>
        </w:tc>
        <w:sdt>
          <w:sdtPr>
            <w:rPr>
              <w:rFonts w:cs="Times New Roman"/>
            </w:rPr>
            <w:id w:val="112542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726EC727" w14:textId="0DF820FA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478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1EDB0C38" w14:textId="5799020A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71086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6F87F441" w14:textId="7CFF98D0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6FD4D981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4F1783FB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542F0F72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Regulátor množství spalovacího vzduchu</w:t>
            </w:r>
          </w:p>
        </w:tc>
        <w:sdt>
          <w:sdtPr>
            <w:rPr>
              <w:rFonts w:cs="Times New Roman"/>
            </w:rPr>
            <w:id w:val="16264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40D5EDB3" w14:textId="528DB458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2048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6A0CD2E7" w14:textId="1A3ED2B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2198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2C706B65" w14:textId="2F98786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1BEF3A8" w14:textId="77777777" w:rsidTr="00C924A2">
        <w:trPr>
          <w:cantSplit/>
          <w:trHeight w:val="428"/>
        </w:trPr>
        <w:tc>
          <w:tcPr>
            <w:tcW w:w="1449" w:type="pct"/>
            <w:gridSpan w:val="2"/>
            <w:vMerge/>
          </w:tcPr>
          <w:p w14:paraId="53A92592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1B1327AF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Havarijní termostat, zařízení proti přetopení</w:t>
            </w:r>
          </w:p>
        </w:tc>
        <w:sdt>
          <w:sdtPr>
            <w:rPr>
              <w:rFonts w:cs="Times New Roman"/>
            </w:rPr>
            <w:id w:val="-8557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58854229" w14:textId="7730F6C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602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0B4814AF" w14:textId="2B52C39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41720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48E62FA7" w14:textId="093B85A8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0FB41893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559653A4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03138BB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Zařízení zabraňující prohoření paliva do násypky</w:t>
            </w:r>
          </w:p>
        </w:tc>
        <w:sdt>
          <w:sdtPr>
            <w:rPr>
              <w:rFonts w:cs="Times New Roman"/>
            </w:rPr>
            <w:id w:val="68210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2443F2F" w14:textId="1AEF8DED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9823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F38CE6E" w14:textId="315280B3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9132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1FE42D8C" w14:textId="3D6C6DAC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70079306" w14:textId="77777777" w:rsidTr="00C924A2">
        <w:trPr>
          <w:cantSplit/>
          <w:trHeight w:val="438"/>
        </w:trPr>
        <w:tc>
          <w:tcPr>
            <w:tcW w:w="1449" w:type="pct"/>
            <w:gridSpan w:val="2"/>
            <w:vMerge w:val="restart"/>
          </w:tcPr>
          <w:p w14:paraId="0B1F792D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Palivové hospodářství</w:t>
            </w:r>
          </w:p>
        </w:tc>
        <w:tc>
          <w:tcPr>
            <w:tcW w:w="1403" w:type="pct"/>
            <w:gridSpan w:val="3"/>
          </w:tcPr>
          <w:p w14:paraId="5178688C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Použité palivo</w:t>
            </w:r>
          </w:p>
        </w:tc>
        <w:sdt>
          <w:sdtPr>
            <w:rPr>
              <w:rFonts w:cs="Times New Roman"/>
            </w:rPr>
            <w:id w:val="-44615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68072A98" w14:textId="52C28CE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48554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5F9F33D" w14:textId="2416880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66298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134F9B5A" w14:textId="4DE1A4A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00E6102B" w14:textId="77777777" w:rsidTr="00C924A2">
        <w:trPr>
          <w:cantSplit/>
          <w:trHeight w:val="416"/>
        </w:trPr>
        <w:tc>
          <w:tcPr>
            <w:tcW w:w="1449" w:type="pct"/>
            <w:gridSpan w:val="2"/>
            <w:vMerge/>
          </w:tcPr>
          <w:p w14:paraId="6DA04A62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39527F86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Způsob skladování paliva</w:t>
            </w:r>
          </w:p>
        </w:tc>
        <w:sdt>
          <w:sdtPr>
            <w:rPr>
              <w:rFonts w:cs="Times New Roman"/>
            </w:rPr>
            <w:id w:val="-198214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58C8BEAF" w14:textId="0B6662FD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7602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28482E52" w14:textId="3B81FCA3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2CF2FD24" w14:textId="57A61AC7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C924A2" w14:paraId="3DB8FEC5" w14:textId="77777777" w:rsidTr="00C924A2">
        <w:trPr>
          <w:cantSplit/>
          <w:trHeight w:val="408"/>
        </w:trPr>
        <w:tc>
          <w:tcPr>
            <w:tcW w:w="1449" w:type="pct"/>
            <w:gridSpan w:val="2"/>
            <w:vMerge w:val="restart"/>
          </w:tcPr>
          <w:p w14:paraId="1506FD0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Teplovodní soustava</w:t>
            </w:r>
          </w:p>
        </w:tc>
        <w:tc>
          <w:tcPr>
            <w:tcW w:w="1403" w:type="pct"/>
            <w:gridSpan w:val="3"/>
          </w:tcPr>
          <w:p w14:paraId="4826440C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Zajištění teploty vratné vody</w:t>
            </w:r>
          </w:p>
        </w:tc>
        <w:sdt>
          <w:sdtPr>
            <w:rPr>
              <w:rFonts w:cs="Times New Roman"/>
            </w:rPr>
            <w:id w:val="-97104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49F08D2" w14:textId="3F77658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0204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4223149" w14:textId="686826EB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34849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7F0D5669" w14:textId="7AA9D7B0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E628346" w14:textId="77777777" w:rsidTr="00C924A2">
        <w:trPr>
          <w:cantSplit/>
          <w:trHeight w:val="408"/>
        </w:trPr>
        <w:tc>
          <w:tcPr>
            <w:tcW w:w="1449" w:type="pct"/>
            <w:gridSpan w:val="2"/>
            <w:vMerge/>
          </w:tcPr>
          <w:p w14:paraId="7D129285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C8BF90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Akumulační nádoba</w:t>
            </w:r>
          </w:p>
        </w:tc>
        <w:sdt>
          <w:sdtPr>
            <w:rPr>
              <w:rFonts w:cs="Times New Roman"/>
            </w:rPr>
            <w:id w:val="-62338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56438567" w14:textId="56244F3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57517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761A113" w14:textId="6E074315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750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30DDF73C" w14:textId="47A9302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66E12433" w14:textId="77777777" w:rsidTr="00C924A2">
        <w:trPr>
          <w:cantSplit/>
        </w:trPr>
        <w:tc>
          <w:tcPr>
            <w:tcW w:w="1449" w:type="pct"/>
            <w:gridSpan w:val="2"/>
            <w:vMerge w:val="restart"/>
          </w:tcPr>
          <w:p w14:paraId="34530366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Odvod spalin a spalinové cesty</w:t>
            </w:r>
          </w:p>
        </w:tc>
        <w:tc>
          <w:tcPr>
            <w:tcW w:w="1403" w:type="pct"/>
            <w:gridSpan w:val="3"/>
          </w:tcPr>
          <w:p w14:paraId="6FB63A44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Napojení na spalinové cesty</w:t>
            </w:r>
          </w:p>
        </w:tc>
        <w:sdt>
          <w:sdtPr>
            <w:rPr>
              <w:rFonts w:cs="Times New Roman"/>
            </w:rPr>
            <w:id w:val="50887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1895671" w14:textId="6DECF9A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63878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CC5EA7D" w14:textId="2846B71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3CE63738" w14:textId="655D5E3C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BC4433" w14:paraId="21AA57C1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6636B5F5" w14:textId="77777777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5BEF5464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Revize spalinových cest provedena dne</w:t>
            </w:r>
          </w:p>
        </w:tc>
        <w:tc>
          <w:tcPr>
            <w:tcW w:w="2148" w:type="pct"/>
            <w:gridSpan w:val="4"/>
          </w:tcPr>
          <w:p w14:paraId="078558BF" w14:textId="2E71579B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16AB0B98" w14:textId="77777777" w:rsidTr="00C924A2">
        <w:trPr>
          <w:cantSplit/>
        </w:trPr>
        <w:tc>
          <w:tcPr>
            <w:tcW w:w="1449" w:type="pct"/>
            <w:gridSpan w:val="2"/>
            <w:vMerge w:val="restart"/>
          </w:tcPr>
          <w:p w14:paraId="1EF53BB7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Řádné údržby spalovacího stacionárního zdroje</w:t>
            </w:r>
          </w:p>
        </w:tc>
        <w:tc>
          <w:tcPr>
            <w:tcW w:w="1403" w:type="pct"/>
            <w:gridSpan w:val="3"/>
          </w:tcPr>
          <w:p w14:paraId="4100A296" w14:textId="7C27BCF1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Kontrola a čištění spalinových cest provedeny dne</w:t>
            </w:r>
          </w:p>
        </w:tc>
        <w:tc>
          <w:tcPr>
            <w:tcW w:w="2148" w:type="pct"/>
            <w:gridSpan w:val="4"/>
          </w:tcPr>
          <w:p w14:paraId="506A3CCB" w14:textId="689388BC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718DB6A3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3AE88383" w14:textId="77777777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050A0266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Pravidelné čištění spalovacího zdroje provedeno dne</w:t>
            </w:r>
          </w:p>
        </w:tc>
        <w:tc>
          <w:tcPr>
            <w:tcW w:w="2148" w:type="pct"/>
            <w:gridSpan w:val="4"/>
          </w:tcPr>
          <w:p w14:paraId="6C0AB34E" w14:textId="2F95BE36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1546737C" w14:textId="77777777">
        <w:tc>
          <w:tcPr>
            <w:tcW w:w="5000" w:type="pct"/>
            <w:gridSpan w:val="9"/>
            <w:shd w:val="clear" w:color="auto" w:fill="D9D9D9"/>
          </w:tcPr>
          <w:p w14:paraId="64A47C6E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Výsledek kontroly</w:t>
            </w:r>
          </w:p>
        </w:tc>
      </w:tr>
      <w:tr w:rsidR="00675108" w14:paraId="7F463C74" w14:textId="77777777" w:rsidTr="00AB048B">
        <w:tc>
          <w:tcPr>
            <w:tcW w:w="2852" w:type="pct"/>
            <w:gridSpan w:val="5"/>
          </w:tcPr>
          <w:p w14:paraId="4AC928A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stacionární zdroj je/není instalován v souladu s pokyny výrobce a zákonem č. 201/2012 Sb.</w:t>
            </w:r>
          </w:p>
        </w:tc>
        <w:tc>
          <w:tcPr>
            <w:tcW w:w="2148" w:type="pct"/>
            <w:gridSpan w:val="4"/>
          </w:tcPr>
          <w:p w14:paraId="22284E0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11CE2997" w14:textId="77777777" w:rsidTr="00AB048B">
        <w:tc>
          <w:tcPr>
            <w:tcW w:w="2852" w:type="pct"/>
            <w:gridSpan w:val="5"/>
          </w:tcPr>
          <w:p w14:paraId="448A2D25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Technický stav vyhovuje/nevyhovuje pokynům výrobce a zákonu č. 201/2012 Sb.</w:t>
            </w:r>
          </w:p>
        </w:tc>
        <w:tc>
          <w:tcPr>
            <w:tcW w:w="2148" w:type="pct"/>
            <w:gridSpan w:val="4"/>
          </w:tcPr>
          <w:p w14:paraId="03F2B9CA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235E2557" w14:textId="77777777" w:rsidTr="00AB048B">
        <w:tc>
          <w:tcPr>
            <w:tcW w:w="2852" w:type="pct"/>
            <w:gridSpan w:val="5"/>
          </w:tcPr>
          <w:p w14:paraId="2D1E49F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stacionární zdroj je/není provozován v souladu s pokyny výrobce a zákonem č. 201/2012 Sb.</w:t>
            </w:r>
          </w:p>
        </w:tc>
        <w:tc>
          <w:tcPr>
            <w:tcW w:w="2148" w:type="pct"/>
            <w:gridSpan w:val="4"/>
          </w:tcPr>
          <w:p w14:paraId="7E0866D6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182BE3F8" w14:textId="77777777" w:rsidTr="00AB048B">
        <w:tc>
          <w:tcPr>
            <w:tcW w:w="2852" w:type="pct"/>
            <w:gridSpan w:val="5"/>
          </w:tcPr>
          <w:p w14:paraId="6DCB4F59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stacionární zdroj splňuje/nesplňuje požadavky stanovené v příloze č. 11 zákona č. 201/2012 Sb.</w:t>
            </w:r>
          </w:p>
        </w:tc>
        <w:tc>
          <w:tcPr>
            <w:tcW w:w="2148" w:type="pct"/>
            <w:gridSpan w:val="4"/>
          </w:tcPr>
          <w:p w14:paraId="2BAFF3E2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787B54F" w14:textId="77777777" w:rsidTr="00AB048B">
        <w:tc>
          <w:tcPr>
            <w:tcW w:w="2852" w:type="pct"/>
            <w:gridSpan w:val="5"/>
          </w:tcPr>
          <w:p w14:paraId="66D563C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Je/není spalováno palivo o požadované kvalitě určené výrobce zdroje, příp. je/není indikováno spalování odpadu</w:t>
            </w:r>
          </w:p>
        </w:tc>
        <w:tc>
          <w:tcPr>
            <w:tcW w:w="2148" w:type="pct"/>
            <w:gridSpan w:val="4"/>
          </w:tcPr>
          <w:p w14:paraId="2361BC76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364FDFE0" w14:textId="77777777">
        <w:tc>
          <w:tcPr>
            <w:tcW w:w="5000" w:type="pct"/>
            <w:gridSpan w:val="9"/>
            <w:shd w:val="clear" w:color="auto" w:fill="D9D9D9"/>
          </w:tcPr>
          <w:p w14:paraId="2C438B9D" w14:textId="77777777" w:rsidR="00675108" w:rsidRDefault="00675108" w:rsidP="00BF46F1">
            <w:pPr>
              <w:spacing w:before="1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Doporučení</w:t>
            </w:r>
          </w:p>
        </w:tc>
      </w:tr>
      <w:tr w:rsidR="00675108" w14:paraId="5AF3B3BF" w14:textId="77777777">
        <w:trPr>
          <w:trHeight w:val="599"/>
        </w:trPr>
        <w:tc>
          <w:tcPr>
            <w:tcW w:w="5000" w:type="pct"/>
            <w:gridSpan w:val="9"/>
          </w:tcPr>
          <w:p w14:paraId="01A12A7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  <w:p w14:paraId="1EE7EA82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421C42B0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51372786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4BF43012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314C660C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57F6B761" w14:textId="77777777" w:rsidTr="00BC4433">
        <w:trPr>
          <w:trHeight w:val="362"/>
        </w:trPr>
        <w:tc>
          <w:tcPr>
            <w:tcW w:w="1375" w:type="pct"/>
          </w:tcPr>
          <w:p w14:paraId="52439AF9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Datum kontroly</w:t>
            </w:r>
          </w:p>
        </w:tc>
        <w:tc>
          <w:tcPr>
            <w:tcW w:w="3625" w:type="pct"/>
            <w:gridSpan w:val="8"/>
          </w:tcPr>
          <w:p w14:paraId="069D3494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00B904C" w14:textId="77777777" w:rsidTr="00BC4433">
        <w:trPr>
          <w:trHeight w:val="695"/>
        </w:trPr>
        <w:tc>
          <w:tcPr>
            <w:tcW w:w="1375" w:type="pct"/>
          </w:tcPr>
          <w:p w14:paraId="2EE5E51F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Podpis a razítko odborně způsobilé osoby</w:t>
            </w:r>
          </w:p>
        </w:tc>
        <w:tc>
          <w:tcPr>
            <w:tcW w:w="3625" w:type="pct"/>
            <w:gridSpan w:val="8"/>
          </w:tcPr>
          <w:p w14:paraId="71E50E0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  <w:p w14:paraId="7B594863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4493AAC8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</w:tc>
      </w:tr>
    </w:tbl>
    <w:p w14:paraId="06ABA50E" w14:textId="77777777" w:rsidR="00675108" w:rsidRDefault="00675108" w:rsidP="00BF46F1">
      <w:pPr>
        <w:spacing w:before="120"/>
        <w:jc w:val="right"/>
        <w:rPr>
          <w:rFonts w:cs="Times New Roman"/>
          <w:b/>
          <w:bCs/>
        </w:rPr>
      </w:pPr>
    </w:p>
    <w:p w14:paraId="01E7BDDE" w14:textId="0EE8050C" w:rsidR="00714AAA" w:rsidRDefault="00714AAA" w:rsidP="00BF46F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2AC192BD" w14:textId="6B97B5ED" w:rsidR="00675108" w:rsidRDefault="00675108" w:rsidP="00BF46F1">
      <w:pPr>
        <w:rPr>
          <w:rFonts w:cs="Times New Roman"/>
        </w:rPr>
      </w:pPr>
    </w:p>
    <w:sectPr w:rsidR="00675108" w:rsidSect="00E55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2E776" w14:textId="77777777" w:rsidR="00071C73" w:rsidRDefault="0007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319D77" w14:textId="77777777" w:rsidR="00071C73" w:rsidRDefault="00071C73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AD1AE61" w14:textId="77777777" w:rsidR="00071C73" w:rsidRDefault="00071C73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955C3" w14:textId="77777777" w:rsidR="00622532" w:rsidRDefault="006225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7B448" w14:textId="77777777" w:rsidR="00E16668" w:rsidRDefault="00E166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D113E">
      <w:rPr>
        <w:noProof/>
      </w:rPr>
      <w:t>3</w:t>
    </w:r>
    <w:r>
      <w:rPr>
        <w:noProof/>
      </w:rPr>
      <w:fldChar w:fldCharType="end"/>
    </w:r>
  </w:p>
  <w:p w14:paraId="59AC13FC" w14:textId="77777777" w:rsidR="00E16668" w:rsidRDefault="00E166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B543" w14:textId="77777777" w:rsidR="00622532" w:rsidRDefault="006225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47069" w14:textId="77777777" w:rsidR="00071C73" w:rsidRDefault="0007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623421" w14:textId="77777777" w:rsidR="00071C73" w:rsidRDefault="00071C73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7DF94189" w14:textId="77777777" w:rsidR="00071C73" w:rsidRDefault="00071C73">
      <w:pPr>
        <w:rPr>
          <w:rFonts w:cs="Times New Roman"/>
        </w:rPr>
      </w:pPr>
    </w:p>
  </w:footnote>
  <w:footnote w:id="2">
    <w:p w14:paraId="57C3E097" w14:textId="3AECADCE" w:rsidR="00E16668" w:rsidRDefault="00E16668">
      <w:pPr>
        <w:pStyle w:val="Textpoznpodarou"/>
      </w:pPr>
      <w:r>
        <w:rPr>
          <w:rStyle w:val="Znakapoznpodarou"/>
        </w:rPr>
        <w:footnoteRef/>
      </w:r>
      <w:r>
        <w:t xml:space="preserve"> Odpovídající položku označte křížkem.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77389" w14:textId="77777777" w:rsidR="00622532" w:rsidRDefault="006225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AA7CB" w14:textId="73D28889" w:rsidR="00E16668" w:rsidRPr="00622532" w:rsidRDefault="00E16668" w:rsidP="006225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17BA9" w14:textId="77777777" w:rsidR="00622532" w:rsidRDefault="006225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AF1"/>
    <w:multiLevelType w:val="multilevel"/>
    <w:tmpl w:val="BDC26C1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>
    <w:nsid w:val="0CC0608A"/>
    <w:multiLevelType w:val="hybridMultilevel"/>
    <w:tmpl w:val="B9EE8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B575A3"/>
    <w:multiLevelType w:val="hybridMultilevel"/>
    <w:tmpl w:val="BE124D2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9174F29"/>
    <w:multiLevelType w:val="hybridMultilevel"/>
    <w:tmpl w:val="5C2CA18C"/>
    <w:lvl w:ilvl="0" w:tplc="F8160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4ACF6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9B45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8EBF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4CEA7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304A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CACD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9BC2B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C8AA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A043CD"/>
    <w:multiLevelType w:val="hybridMultilevel"/>
    <w:tmpl w:val="B1AA6B3A"/>
    <w:lvl w:ilvl="0" w:tplc="12D49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0B1E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ascii="Times New Roman" w:hAnsi="Times New Roman" w:cs="Times New Roman"/>
      </w:rPr>
    </w:lvl>
  </w:abstractNum>
  <w:abstractNum w:abstractNumId="6">
    <w:nsid w:val="2FC971DC"/>
    <w:multiLevelType w:val="hybridMultilevel"/>
    <w:tmpl w:val="BD9EF4F8"/>
    <w:lvl w:ilvl="0" w:tplc="79624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B040A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1A67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86A7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D768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3C47B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1E60B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8C62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89C1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7907CD"/>
    <w:multiLevelType w:val="hybridMultilevel"/>
    <w:tmpl w:val="DD3C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184AD8"/>
    <w:multiLevelType w:val="hybridMultilevel"/>
    <w:tmpl w:val="97D42168"/>
    <w:lvl w:ilvl="0" w:tplc="EE9A096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63A6B"/>
    <w:multiLevelType w:val="hybridMultilevel"/>
    <w:tmpl w:val="FDCC1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5AA0BCF"/>
    <w:multiLevelType w:val="hybridMultilevel"/>
    <w:tmpl w:val="EDB8608A"/>
    <w:lvl w:ilvl="0" w:tplc="984E74D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00FB6"/>
    <w:multiLevelType w:val="hybridMultilevel"/>
    <w:tmpl w:val="E1BC89B4"/>
    <w:lvl w:ilvl="0" w:tplc="CC1024B4">
      <w:start w:val="1"/>
      <w:numFmt w:val="bullet"/>
      <w:lvlText w:val=""/>
      <w:lvlJc w:val="left"/>
      <w:pPr>
        <w:tabs>
          <w:tab w:val="num" w:pos="927"/>
        </w:tabs>
        <w:ind w:left="927" w:hanging="643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E93428"/>
    <w:multiLevelType w:val="hybridMultilevel"/>
    <w:tmpl w:val="7472AA98"/>
    <w:lvl w:ilvl="0" w:tplc="040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8A82318"/>
    <w:multiLevelType w:val="hybridMultilevel"/>
    <w:tmpl w:val="1FD6D150"/>
    <w:lvl w:ilvl="0" w:tplc="7B3C0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7428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09A8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8908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27E2F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0A63F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3C99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A025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3C4B0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1259FD"/>
    <w:multiLevelType w:val="hybridMultilevel"/>
    <w:tmpl w:val="1C12689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520F46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6">
    <w:nsid w:val="648B6F34"/>
    <w:multiLevelType w:val="multilevel"/>
    <w:tmpl w:val="B7D6FC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>
    <w:nsid w:val="6C2175DD"/>
    <w:multiLevelType w:val="hybridMultilevel"/>
    <w:tmpl w:val="F1F62AB0"/>
    <w:lvl w:ilvl="0" w:tplc="6BB2001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E77EE"/>
    <w:multiLevelType w:val="hybridMultilevel"/>
    <w:tmpl w:val="1C5C5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3FD1040"/>
    <w:multiLevelType w:val="multilevel"/>
    <w:tmpl w:val="3C40B2B0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0">
    <w:nsid w:val="74802E9E"/>
    <w:multiLevelType w:val="hybridMultilevel"/>
    <w:tmpl w:val="8B20E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5550C0B"/>
    <w:multiLevelType w:val="multilevel"/>
    <w:tmpl w:val="79A29AF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2"/>
  </w:num>
  <w:num w:numId="5">
    <w:abstractNumId w:val="5"/>
  </w:num>
  <w:num w:numId="6">
    <w:abstractNumId w:val="15"/>
  </w:num>
  <w:num w:numId="7">
    <w:abstractNumId w:val="14"/>
  </w:num>
  <w:num w:numId="8">
    <w:abstractNumId w:val="20"/>
  </w:num>
  <w:num w:numId="9">
    <w:abstractNumId w:val="13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18"/>
  </w:num>
  <w:num w:numId="15">
    <w:abstractNumId w:val="12"/>
  </w:num>
  <w:num w:numId="16">
    <w:abstractNumId w:val="21"/>
  </w:num>
  <w:num w:numId="17">
    <w:abstractNumId w:val="4"/>
  </w:num>
  <w:num w:numId="18">
    <w:abstractNumId w:val="10"/>
  </w:num>
  <w:num w:numId="19">
    <w:abstractNumId w:val="8"/>
  </w:num>
  <w:num w:numId="20">
    <w:abstractNumId w:val="19"/>
  </w:num>
  <w:num w:numId="21">
    <w:abstractNumId w:val="19"/>
  </w:num>
  <w:num w:numId="22">
    <w:abstractNumId w:val="19"/>
  </w:num>
  <w:num w:numId="23">
    <w:abstractNumId w:val="0"/>
  </w:num>
  <w:num w:numId="24">
    <w:abstractNumId w:val="19"/>
  </w:num>
  <w:num w:numId="25">
    <w:abstractNumId w:val="17"/>
  </w:num>
  <w:num w:numId="26">
    <w:abstractNumId w:val="17"/>
  </w:num>
  <w:num w:numId="27">
    <w:abstractNumId w:val="17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08"/>
    <w:rsid w:val="00004D6E"/>
    <w:rsid w:val="00005BA8"/>
    <w:rsid w:val="00010E5A"/>
    <w:rsid w:val="00056D88"/>
    <w:rsid w:val="000704FE"/>
    <w:rsid w:val="00071C73"/>
    <w:rsid w:val="000A6496"/>
    <w:rsid w:val="000D5CBD"/>
    <w:rsid w:val="00117001"/>
    <w:rsid w:val="00136713"/>
    <w:rsid w:val="001929F1"/>
    <w:rsid w:val="00196225"/>
    <w:rsid w:val="001A3E55"/>
    <w:rsid w:val="001A3EE4"/>
    <w:rsid w:val="001A791D"/>
    <w:rsid w:val="001B18E6"/>
    <w:rsid w:val="001D114D"/>
    <w:rsid w:val="002578EC"/>
    <w:rsid w:val="002643E1"/>
    <w:rsid w:val="002844D9"/>
    <w:rsid w:val="00297372"/>
    <w:rsid w:val="002A5118"/>
    <w:rsid w:val="002D7103"/>
    <w:rsid w:val="002E35A9"/>
    <w:rsid w:val="002F456F"/>
    <w:rsid w:val="002F463E"/>
    <w:rsid w:val="00331DCF"/>
    <w:rsid w:val="00342937"/>
    <w:rsid w:val="00346EC1"/>
    <w:rsid w:val="003500D8"/>
    <w:rsid w:val="003602D3"/>
    <w:rsid w:val="00380010"/>
    <w:rsid w:val="00394DAE"/>
    <w:rsid w:val="00456618"/>
    <w:rsid w:val="00465958"/>
    <w:rsid w:val="00472641"/>
    <w:rsid w:val="00483C61"/>
    <w:rsid w:val="005262E0"/>
    <w:rsid w:val="00557063"/>
    <w:rsid w:val="00572CF0"/>
    <w:rsid w:val="005962FF"/>
    <w:rsid w:val="005D49FF"/>
    <w:rsid w:val="005E006A"/>
    <w:rsid w:val="005E4B27"/>
    <w:rsid w:val="005F7FB5"/>
    <w:rsid w:val="00622532"/>
    <w:rsid w:val="0062497C"/>
    <w:rsid w:val="00654332"/>
    <w:rsid w:val="00664FFA"/>
    <w:rsid w:val="0066730A"/>
    <w:rsid w:val="00675108"/>
    <w:rsid w:val="00675FE7"/>
    <w:rsid w:val="006842F3"/>
    <w:rsid w:val="006916BF"/>
    <w:rsid w:val="006A09B2"/>
    <w:rsid w:val="006A4003"/>
    <w:rsid w:val="006C6B99"/>
    <w:rsid w:val="006D04AC"/>
    <w:rsid w:val="006D113E"/>
    <w:rsid w:val="006E48E0"/>
    <w:rsid w:val="00700AA2"/>
    <w:rsid w:val="007023B0"/>
    <w:rsid w:val="00703AD8"/>
    <w:rsid w:val="00714AAA"/>
    <w:rsid w:val="007245C2"/>
    <w:rsid w:val="00727AB6"/>
    <w:rsid w:val="00745AE6"/>
    <w:rsid w:val="0076381B"/>
    <w:rsid w:val="00765CE5"/>
    <w:rsid w:val="0077571A"/>
    <w:rsid w:val="007829EC"/>
    <w:rsid w:val="007A703E"/>
    <w:rsid w:val="007C1CB6"/>
    <w:rsid w:val="007E3B4E"/>
    <w:rsid w:val="00804858"/>
    <w:rsid w:val="00821938"/>
    <w:rsid w:val="0083682B"/>
    <w:rsid w:val="00843F08"/>
    <w:rsid w:val="008A1FA3"/>
    <w:rsid w:val="008B3FAF"/>
    <w:rsid w:val="008D5804"/>
    <w:rsid w:val="00903F64"/>
    <w:rsid w:val="0091190D"/>
    <w:rsid w:val="00922B2E"/>
    <w:rsid w:val="00952FD7"/>
    <w:rsid w:val="009661A5"/>
    <w:rsid w:val="00974785"/>
    <w:rsid w:val="009754EA"/>
    <w:rsid w:val="009B5B5E"/>
    <w:rsid w:val="009B6E1F"/>
    <w:rsid w:val="009C0CD6"/>
    <w:rsid w:val="009C66B6"/>
    <w:rsid w:val="009E5CB0"/>
    <w:rsid w:val="009E7CC1"/>
    <w:rsid w:val="00A20562"/>
    <w:rsid w:val="00A44366"/>
    <w:rsid w:val="00A47A44"/>
    <w:rsid w:val="00A62475"/>
    <w:rsid w:val="00A65D93"/>
    <w:rsid w:val="00A6624D"/>
    <w:rsid w:val="00A67F97"/>
    <w:rsid w:val="00A83EDD"/>
    <w:rsid w:val="00A936A8"/>
    <w:rsid w:val="00AB048B"/>
    <w:rsid w:val="00AC502F"/>
    <w:rsid w:val="00AD5C4B"/>
    <w:rsid w:val="00AD6F43"/>
    <w:rsid w:val="00B16BBF"/>
    <w:rsid w:val="00B16E99"/>
    <w:rsid w:val="00B5147B"/>
    <w:rsid w:val="00B55216"/>
    <w:rsid w:val="00B62C77"/>
    <w:rsid w:val="00B646C6"/>
    <w:rsid w:val="00B72ED8"/>
    <w:rsid w:val="00B847C2"/>
    <w:rsid w:val="00B9385D"/>
    <w:rsid w:val="00BB6271"/>
    <w:rsid w:val="00BC4433"/>
    <w:rsid w:val="00BF46F1"/>
    <w:rsid w:val="00C04041"/>
    <w:rsid w:val="00C225BB"/>
    <w:rsid w:val="00C45355"/>
    <w:rsid w:val="00C54D65"/>
    <w:rsid w:val="00C62EF9"/>
    <w:rsid w:val="00C90557"/>
    <w:rsid w:val="00C90FBE"/>
    <w:rsid w:val="00C924A2"/>
    <w:rsid w:val="00CA22C0"/>
    <w:rsid w:val="00CA27DC"/>
    <w:rsid w:val="00CC618F"/>
    <w:rsid w:val="00CD311B"/>
    <w:rsid w:val="00CD5DF3"/>
    <w:rsid w:val="00CE5475"/>
    <w:rsid w:val="00D053BF"/>
    <w:rsid w:val="00D078C2"/>
    <w:rsid w:val="00D433D6"/>
    <w:rsid w:val="00D45073"/>
    <w:rsid w:val="00D545DC"/>
    <w:rsid w:val="00D60C90"/>
    <w:rsid w:val="00D66BD4"/>
    <w:rsid w:val="00D850AE"/>
    <w:rsid w:val="00D87841"/>
    <w:rsid w:val="00DA0780"/>
    <w:rsid w:val="00DC48EB"/>
    <w:rsid w:val="00DC66D6"/>
    <w:rsid w:val="00DC6760"/>
    <w:rsid w:val="00DD02FB"/>
    <w:rsid w:val="00E10BB6"/>
    <w:rsid w:val="00E16668"/>
    <w:rsid w:val="00E430A5"/>
    <w:rsid w:val="00E44489"/>
    <w:rsid w:val="00E457A9"/>
    <w:rsid w:val="00E4799B"/>
    <w:rsid w:val="00E55B81"/>
    <w:rsid w:val="00E811BD"/>
    <w:rsid w:val="00E9276C"/>
    <w:rsid w:val="00E94B3D"/>
    <w:rsid w:val="00EA7691"/>
    <w:rsid w:val="00F068D3"/>
    <w:rsid w:val="00F117D4"/>
    <w:rsid w:val="00F25146"/>
    <w:rsid w:val="00F4306B"/>
    <w:rsid w:val="00F55AC3"/>
    <w:rsid w:val="00F616B6"/>
    <w:rsid w:val="00F750EA"/>
    <w:rsid w:val="00FC2F24"/>
    <w:rsid w:val="00FF3FCE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50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BD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66BD4"/>
    <w:pPr>
      <w:keepNext/>
      <w:keepLines/>
      <w:numPr>
        <w:numId w:val="28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306B"/>
    <w:pPr>
      <w:keepNext/>
      <w:keepLines/>
      <w:numPr>
        <w:ilvl w:val="1"/>
        <w:numId w:val="28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306B"/>
    <w:pPr>
      <w:keepNext/>
      <w:keepLines/>
      <w:numPr>
        <w:ilvl w:val="2"/>
        <w:numId w:val="2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4306B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4306B"/>
    <w:pPr>
      <w:keepNext/>
      <w:keepLines/>
      <w:numPr>
        <w:ilvl w:val="4"/>
        <w:numId w:val="2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4306B"/>
    <w:pPr>
      <w:keepNext/>
      <w:keepLines/>
      <w:numPr>
        <w:ilvl w:val="5"/>
        <w:numId w:val="2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4306B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4306B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4306B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pPr>
      <w:ind w:left="708"/>
    </w:p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</w:rPr>
  </w:style>
  <w:style w:type="paragraph" w:customStyle="1" w:styleId="Pedmtkomente1">
    <w:name w:val="Předmět komentáře1"/>
    <w:basedOn w:val="Textkomente"/>
    <w:next w:val="Textkomente"/>
    <w:uiPriority w:val="99"/>
    <w:rPr>
      <w:b/>
      <w:bCs/>
    </w:rPr>
  </w:style>
  <w:style w:type="paragraph" w:customStyle="1" w:styleId="Textbubliny1">
    <w:name w:val="Text bubliny1"/>
    <w:basedOn w:val="Normln"/>
    <w:uiPriority w:val="9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line="276" w:lineRule="auto"/>
      <w:jc w:val="both"/>
    </w:pPr>
    <w:rPr>
      <w:rFonts w:ascii="Arial" w:hAnsi="Arial" w:cs="Arial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Arial" w:hAnsi="Arial" w:cs="Arial"/>
      <w:sz w:val="24"/>
      <w:szCs w:val="24"/>
      <w:lang w:eastAsia="en-US"/>
    </w:rPr>
  </w:style>
  <w:style w:type="paragraph" w:customStyle="1" w:styleId="Odstavecseseznamem11">
    <w:name w:val="Odstavec se seznamem11"/>
    <w:basedOn w:val="Normln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rFonts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</w:rPr>
  </w:style>
  <w:style w:type="paragraph" w:styleId="Revize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646C6"/>
    <w:rPr>
      <w:b/>
      <w:bCs/>
    </w:rPr>
  </w:style>
  <w:style w:type="paragraph" w:styleId="Odstavecseseznamem">
    <w:name w:val="List Paragraph"/>
    <w:basedOn w:val="Normln"/>
    <w:uiPriority w:val="34"/>
    <w:qFormat/>
    <w:rsid w:val="00843F0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B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BB6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0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10BB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10BB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10BB6"/>
    <w:rPr>
      <w:vertAlign w:val="superscript"/>
    </w:rPr>
  </w:style>
  <w:style w:type="paragraph" w:customStyle="1" w:styleId="Styl1">
    <w:name w:val="Styl1"/>
    <w:qFormat/>
    <w:rsid w:val="001A791D"/>
    <w:pPr>
      <w:numPr>
        <w:numId w:val="3"/>
      </w:numPr>
    </w:pPr>
    <w:rPr>
      <w:rFonts w:ascii="Times New Roman" w:eastAsiaTheme="majorEastAsia" w:hAnsi="Times New Roman" w:cs="Times New Roman"/>
      <w:b/>
      <w:bCs/>
      <w:iCs/>
      <w:color w:val="272727" w:themeColor="text1" w:themeTint="D8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4306B"/>
    <w:rPr>
      <w:rFonts w:ascii="Times New Roman" w:eastAsiaTheme="majorEastAsia" w:hAnsi="Times New Roman" w:cstheme="majorBidi"/>
      <w:b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4306B"/>
    <w:pPr>
      <w:spacing w:line="259" w:lineRule="auto"/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rsid w:val="00F4306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43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430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F43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430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F430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F430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F430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F430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link w:val="BezmezerChar"/>
    <w:uiPriority w:val="1"/>
    <w:qFormat/>
    <w:rsid w:val="00D66BD4"/>
  </w:style>
  <w:style w:type="character" w:customStyle="1" w:styleId="BezmezerChar">
    <w:name w:val="Bez mezer Char"/>
    <w:basedOn w:val="Standardnpsmoodstavce"/>
    <w:link w:val="Bezmezer"/>
    <w:uiPriority w:val="1"/>
    <w:rsid w:val="00D66BD4"/>
  </w:style>
  <w:style w:type="paragraph" w:styleId="Obsah1">
    <w:name w:val="toc 1"/>
    <w:basedOn w:val="Normln"/>
    <w:next w:val="Normln"/>
    <w:autoRedefine/>
    <w:uiPriority w:val="39"/>
    <w:unhideWhenUsed/>
    <w:rsid w:val="00BF46F1"/>
    <w:pPr>
      <w:tabs>
        <w:tab w:val="left" w:pos="440"/>
        <w:tab w:val="right" w:leader="dot" w:pos="906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F46F1"/>
    <w:pPr>
      <w:tabs>
        <w:tab w:val="left" w:pos="880"/>
        <w:tab w:val="right" w:leader="dot" w:pos="9060"/>
      </w:tabs>
      <w:spacing w:after="100"/>
      <w:ind w:left="240"/>
    </w:pPr>
  </w:style>
  <w:style w:type="table" w:styleId="Mkatabulky">
    <w:name w:val="Table Grid"/>
    <w:basedOn w:val="Normlntabulka"/>
    <w:uiPriority w:val="59"/>
    <w:rsid w:val="00E4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BD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66BD4"/>
    <w:pPr>
      <w:keepNext/>
      <w:keepLines/>
      <w:numPr>
        <w:numId w:val="28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306B"/>
    <w:pPr>
      <w:keepNext/>
      <w:keepLines/>
      <w:numPr>
        <w:ilvl w:val="1"/>
        <w:numId w:val="28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306B"/>
    <w:pPr>
      <w:keepNext/>
      <w:keepLines/>
      <w:numPr>
        <w:ilvl w:val="2"/>
        <w:numId w:val="2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4306B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4306B"/>
    <w:pPr>
      <w:keepNext/>
      <w:keepLines/>
      <w:numPr>
        <w:ilvl w:val="4"/>
        <w:numId w:val="2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4306B"/>
    <w:pPr>
      <w:keepNext/>
      <w:keepLines/>
      <w:numPr>
        <w:ilvl w:val="5"/>
        <w:numId w:val="2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4306B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4306B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4306B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pPr>
      <w:ind w:left="708"/>
    </w:p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</w:rPr>
  </w:style>
  <w:style w:type="paragraph" w:customStyle="1" w:styleId="Pedmtkomente1">
    <w:name w:val="Předmět komentáře1"/>
    <w:basedOn w:val="Textkomente"/>
    <w:next w:val="Textkomente"/>
    <w:uiPriority w:val="99"/>
    <w:rPr>
      <w:b/>
      <w:bCs/>
    </w:rPr>
  </w:style>
  <w:style w:type="paragraph" w:customStyle="1" w:styleId="Textbubliny1">
    <w:name w:val="Text bubliny1"/>
    <w:basedOn w:val="Normln"/>
    <w:uiPriority w:val="9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line="276" w:lineRule="auto"/>
      <w:jc w:val="both"/>
    </w:pPr>
    <w:rPr>
      <w:rFonts w:ascii="Arial" w:hAnsi="Arial" w:cs="Arial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Arial" w:hAnsi="Arial" w:cs="Arial"/>
      <w:sz w:val="24"/>
      <w:szCs w:val="24"/>
      <w:lang w:eastAsia="en-US"/>
    </w:rPr>
  </w:style>
  <w:style w:type="paragraph" w:customStyle="1" w:styleId="Odstavecseseznamem11">
    <w:name w:val="Odstavec se seznamem11"/>
    <w:basedOn w:val="Normln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rFonts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</w:rPr>
  </w:style>
  <w:style w:type="paragraph" w:styleId="Revize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646C6"/>
    <w:rPr>
      <w:b/>
      <w:bCs/>
    </w:rPr>
  </w:style>
  <w:style w:type="paragraph" w:styleId="Odstavecseseznamem">
    <w:name w:val="List Paragraph"/>
    <w:basedOn w:val="Normln"/>
    <w:uiPriority w:val="34"/>
    <w:qFormat/>
    <w:rsid w:val="00843F0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B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BB6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0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10BB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10BB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10BB6"/>
    <w:rPr>
      <w:vertAlign w:val="superscript"/>
    </w:rPr>
  </w:style>
  <w:style w:type="paragraph" w:customStyle="1" w:styleId="Styl1">
    <w:name w:val="Styl1"/>
    <w:qFormat/>
    <w:rsid w:val="001A791D"/>
    <w:pPr>
      <w:numPr>
        <w:numId w:val="3"/>
      </w:numPr>
    </w:pPr>
    <w:rPr>
      <w:rFonts w:ascii="Times New Roman" w:eastAsiaTheme="majorEastAsia" w:hAnsi="Times New Roman" w:cs="Times New Roman"/>
      <w:b/>
      <w:bCs/>
      <w:iCs/>
      <w:color w:val="272727" w:themeColor="text1" w:themeTint="D8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4306B"/>
    <w:rPr>
      <w:rFonts w:ascii="Times New Roman" w:eastAsiaTheme="majorEastAsia" w:hAnsi="Times New Roman" w:cstheme="majorBidi"/>
      <w:b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4306B"/>
    <w:pPr>
      <w:spacing w:line="259" w:lineRule="auto"/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rsid w:val="00F4306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43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430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F43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430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F430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F430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F430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F430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link w:val="BezmezerChar"/>
    <w:uiPriority w:val="1"/>
    <w:qFormat/>
    <w:rsid w:val="00D66BD4"/>
  </w:style>
  <w:style w:type="character" w:customStyle="1" w:styleId="BezmezerChar">
    <w:name w:val="Bez mezer Char"/>
    <w:basedOn w:val="Standardnpsmoodstavce"/>
    <w:link w:val="Bezmezer"/>
    <w:uiPriority w:val="1"/>
    <w:rsid w:val="00D66BD4"/>
  </w:style>
  <w:style w:type="paragraph" w:styleId="Obsah1">
    <w:name w:val="toc 1"/>
    <w:basedOn w:val="Normln"/>
    <w:next w:val="Normln"/>
    <w:autoRedefine/>
    <w:uiPriority w:val="39"/>
    <w:unhideWhenUsed/>
    <w:rsid w:val="00BF46F1"/>
    <w:pPr>
      <w:tabs>
        <w:tab w:val="left" w:pos="440"/>
        <w:tab w:val="right" w:leader="dot" w:pos="906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F46F1"/>
    <w:pPr>
      <w:tabs>
        <w:tab w:val="left" w:pos="880"/>
        <w:tab w:val="right" w:leader="dot" w:pos="9060"/>
      </w:tabs>
      <w:spacing w:after="100"/>
      <w:ind w:left="240"/>
    </w:pPr>
  </w:style>
  <w:style w:type="table" w:styleId="Mkatabulky">
    <w:name w:val="Table Grid"/>
    <w:basedOn w:val="Normlntabulka"/>
    <w:uiPriority w:val="59"/>
    <w:rsid w:val="00E4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8A5F-7F9E-45F5-9664-185F865B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MINISTERSTVA ŽIVOTNÍHO PROSTŘEDÍ, ODBORU OCHRANY OVZDUŠÍ</vt:lpstr>
    </vt:vector>
  </TitlesOfParts>
  <Company>MZPCR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MINISTERSTVA ŽIVOTNÍHO PROSTŘEDÍ, ODBORU OCHRANY OVZDUŠÍ</dc:title>
  <dc:creator>user</dc:creator>
  <cp:lastModifiedBy>Helán Tomáš</cp:lastModifiedBy>
  <cp:revision>2</cp:revision>
  <cp:lastPrinted>2015-10-13T08:45:00Z</cp:lastPrinted>
  <dcterms:created xsi:type="dcterms:W3CDTF">2016-10-21T06:18:00Z</dcterms:created>
  <dcterms:modified xsi:type="dcterms:W3CDTF">2016-10-21T06:18:00Z</dcterms:modified>
</cp:coreProperties>
</file>